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C8EEF" w14:textId="77777777" w:rsidR="006E4A65" w:rsidRPr="00E169B2" w:rsidRDefault="006E4A65" w:rsidP="006E4A65">
      <w:pPr>
        <w:spacing w:after="0" w:line="480" w:lineRule="auto"/>
        <w:rPr>
          <w:rFonts w:cs="Arial"/>
          <w:b/>
          <w:lang w:val="en-GB"/>
        </w:rPr>
      </w:pPr>
      <w:r w:rsidRPr="00E169B2">
        <w:rPr>
          <w:rFonts w:cs="Arial"/>
          <w:b/>
          <w:lang w:val="en-GB"/>
        </w:rPr>
        <w:t>Supplemental Information</w:t>
      </w:r>
    </w:p>
    <w:p w14:paraId="79745BDC" w14:textId="77777777" w:rsidR="006E4A65" w:rsidRPr="00E169B2" w:rsidRDefault="006E4A65" w:rsidP="006E4A65">
      <w:pPr>
        <w:rPr>
          <w:rFonts w:eastAsia="MS Mincho" w:cs="Times New Roman"/>
          <w:lang w:val="en-GB"/>
        </w:rPr>
      </w:pPr>
      <w:bookmarkStart w:id="0" w:name="_Hlk6586183"/>
      <w:r w:rsidRPr="00E169B2">
        <w:rPr>
          <w:rFonts w:eastAsia="MS Mincho" w:cs="Times New Roman"/>
          <w:b/>
          <w:lang w:val="en-GB"/>
        </w:rPr>
        <w:t>Supplemental Table I.</w:t>
      </w:r>
      <w:r w:rsidRPr="00E169B2">
        <w:rPr>
          <w:rFonts w:eastAsia="MS Mincho" w:cs="Times New Roman"/>
          <w:lang w:val="en-GB"/>
        </w:rPr>
        <w:t xml:space="preserve"> Patient disposition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431"/>
        <w:gridCol w:w="1903"/>
        <w:gridCol w:w="1903"/>
        <w:gridCol w:w="1903"/>
        <w:gridCol w:w="1903"/>
        <w:gridCol w:w="1905"/>
      </w:tblGrid>
      <w:tr w:rsidR="006E4A65" w:rsidRPr="00E169B2" w14:paraId="4367F888" w14:textId="77777777" w:rsidTr="004D63F6">
        <w:trPr>
          <w:trHeight w:val="432"/>
        </w:trPr>
        <w:tc>
          <w:tcPr>
            <w:tcW w:w="1588" w:type="pct"/>
            <w:hideMark/>
          </w:tcPr>
          <w:p w14:paraId="7FF4FC7B" w14:textId="77777777" w:rsidR="006E4A65" w:rsidRPr="00E169B2" w:rsidRDefault="006E4A65" w:rsidP="004D63F6">
            <w:pPr>
              <w:rPr>
                <w:rFonts w:eastAsia="MS Mincho" w:cs="Times New Roman"/>
                <w:lang w:val="en-GB"/>
              </w:rPr>
            </w:pPr>
          </w:p>
        </w:tc>
        <w:tc>
          <w:tcPr>
            <w:tcW w:w="682" w:type="pct"/>
            <w:vAlign w:val="center"/>
            <w:hideMark/>
          </w:tcPr>
          <w:p w14:paraId="7486FABC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/>
                <w:bCs/>
                <w:lang w:val="en-GB"/>
              </w:rPr>
              <w:t>FL</w:t>
            </w:r>
          </w:p>
          <w:p w14:paraId="794DE878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/>
                <w:bCs/>
                <w:lang w:val="en-GB"/>
              </w:rPr>
              <w:t>n=27</w:t>
            </w:r>
          </w:p>
        </w:tc>
        <w:tc>
          <w:tcPr>
            <w:tcW w:w="682" w:type="pct"/>
            <w:vAlign w:val="center"/>
            <w:hideMark/>
          </w:tcPr>
          <w:p w14:paraId="3CDC2C45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/>
                <w:bCs/>
                <w:lang w:val="en-GB"/>
              </w:rPr>
              <w:t>GCB DLBCL</w:t>
            </w:r>
          </w:p>
          <w:p w14:paraId="659B2376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/>
                <w:bCs/>
                <w:lang w:val="en-GB"/>
              </w:rPr>
              <w:t>n=17</w:t>
            </w:r>
          </w:p>
        </w:tc>
        <w:tc>
          <w:tcPr>
            <w:tcW w:w="682" w:type="pct"/>
            <w:vAlign w:val="center"/>
            <w:hideMark/>
          </w:tcPr>
          <w:p w14:paraId="0BAC6240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/>
                <w:bCs/>
                <w:lang w:val="en-GB"/>
              </w:rPr>
              <w:t>Non-GCB DLBCL</w:t>
            </w:r>
          </w:p>
          <w:p w14:paraId="6F41F8CE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/>
                <w:bCs/>
                <w:lang w:val="en-GB"/>
              </w:rPr>
              <w:t>n=16</w:t>
            </w:r>
          </w:p>
        </w:tc>
        <w:tc>
          <w:tcPr>
            <w:tcW w:w="682" w:type="pct"/>
            <w:vAlign w:val="center"/>
            <w:hideMark/>
          </w:tcPr>
          <w:p w14:paraId="50F2E295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/>
                <w:bCs/>
                <w:lang w:val="en-GB"/>
              </w:rPr>
              <w:t>All DLBCL</w:t>
            </w:r>
          </w:p>
          <w:p w14:paraId="10EB4FC3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/>
                <w:bCs/>
                <w:lang w:val="en-GB"/>
              </w:rPr>
              <w:t>n=35*</w:t>
            </w:r>
          </w:p>
        </w:tc>
        <w:tc>
          <w:tcPr>
            <w:tcW w:w="683" w:type="pct"/>
            <w:vAlign w:val="center"/>
            <w:hideMark/>
          </w:tcPr>
          <w:p w14:paraId="2E5FB951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/>
                <w:bCs/>
                <w:lang w:val="en-GB"/>
              </w:rPr>
              <w:t>All Patients</w:t>
            </w:r>
          </w:p>
          <w:p w14:paraId="29552B39" w14:textId="77777777" w:rsidR="006E4A65" w:rsidRPr="00E169B2" w:rsidRDefault="006E4A65" w:rsidP="004D63F6">
            <w:pPr>
              <w:jc w:val="center"/>
              <w:rPr>
                <w:rFonts w:eastAsia="MS Mincho" w:cs="Arial"/>
                <w:lang w:val="en-GB"/>
              </w:rPr>
            </w:pPr>
            <w:r w:rsidRPr="00E169B2">
              <w:rPr>
                <w:rFonts w:eastAsia="MS Mincho" w:cs="Arial"/>
                <w:b/>
                <w:bCs/>
                <w:lang w:val="en-GB"/>
              </w:rPr>
              <w:t>N=62</w:t>
            </w:r>
          </w:p>
        </w:tc>
      </w:tr>
      <w:tr w:rsidR="006E4A65" w:rsidRPr="00E169B2" w14:paraId="14499C58" w14:textId="77777777" w:rsidTr="004D63F6">
        <w:trPr>
          <w:trHeight w:val="245"/>
        </w:trPr>
        <w:tc>
          <w:tcPr>
            <w:tcW w:w="1588" w:type="pct"/>
          </w:tcPr>
          <w:p w14:paraId="06B6568C" w14:textId="77777777" w:rsidR="006E4A65" w:rsidRPr="00E169B2" w:rsidRDefault="006E4A65" w:rsidP="004D63F6">
            <w:pPr>
              <w:rPr>
                <w:rFonts w:eastAsia="MS Mincho" w:cs="Times New Roman"/>
                <w:bCs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 xml:space="preserve">Received ≥1 dose of study medication, n (%) </w:t>
            </w:r>
          </w:p>
        </w:tc>
        <w:tc>
          <w:tcPr>
            <w:tcW w:w="682" w:type="pct"/>
            <w:vAlign w:val="center"/>
          </w:tcPr>
          <w:p w14:paraId="1C22E3DF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27 (100)</w:t>
            </w:r>
          </w:p>
        </w:tc>
        <w:tc>
          <w:tcPr>
            <w:tcW w:w="682" w:type="pct"/>
            <w:vAlign w:val="center"/>
          </w:tcPr>
          <w:p w14:paraId="018C9F88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16 (94)</w:t>
            </w:r>
          </w:p>
        </w:tc>
        <w:tc>
          <w:tcPr>
            <w:tcW w:w="682" w:type="pct"/>
            <w:vAlign w:val="center"/>
          </w:tcPr>
          <w:p w14:paraId="0AD0DCC2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16 (100)</w:t>
            </w:r>
          </w:p>
        </w:tc>
        <w:tc>
          <w:tcPr>
            <w:tcW w:w="682" w:type="pct"/>
            <w:vAlign w:val="center"/>
          </w:tcPr>
          <w:p w14:paraId="09B1A25F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34 (97)</w:t>
            </w:r>
          </w:p>
        </w:tc>
        <w:tc>
          <w:tcPr>
            <w:tcW w:w="683" w:type="pct"/>
            <w:vAlign w:val="center"/>
          </w:tcPr>
          <w:p w14:paraId="7EAED5B6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61 (98)</w:t>
            </w:r>
          </w:p>
        </w:tc>
      </w:tr>
      <w:tr w:rsidR="006E4A65" w:rsidRPr="00E169B2" w14:paraId="11103056" w14:textId="77777777" w:rsidTr="004D63F6">
        <w:trPr>
          <w:trHeight w:val="245"/>
        </w:trPr>
        <w:tc>
          <w:tcPr>
            <w:tcW w:w="1588" w:type="pct"/>
          </w:tcPr>
          <w:p w14:paraId="66FFA984" w14:textId="77777777" w:rsidR="006E4A65" w:rsidRPr="00E169B2" w:rsidRDefault="006E4A65" w:rsidP="004D63F6">
            <w:pPr>
              <w:ind w:left="284"/>
              <w:rPr>
                <w:rFonts w:eastAsia="MS Mincho" w:cs="Times New Roman"/>
                <w:bCs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>I</w:t>
            </w:r>
            <w:r w:rsidRPr="00E169B2">
              <w:rPr>
                <w:rFonts w:cs="Arial"/>
                <w:bCs/>
                <w:color w:val="000000" w:themeColor="text1"/>
                <w:kern w:val="24"/>
                <w:lang w:val="en-GB"/>
              </w:rPr>
              <w:t>brutinib</w:t>
            </w:r>
          </w:p>
        </w:tc>
        <w:tc>
          <w:tcPr>
            <w:tcW w:w="682" w:type="pct"/>
            <w:vAlign w:val="center"/>
          </w:tcPr>
          <w:p w14:paraId="79172D14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27 (100)</w:t>
            </w:r>
          </w:p>
        </w:tc>
        <w:tc>
          <w:tcPr>
            <w:tcW w:w="682" w:type="pct"/>
            <w:vAlign w:val="center"/>
          </w:tcPr>
          <w:p w14:paraId="09294956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16 (94)</w:t>
            </w:r>
          </w:p>
        </w:tc>
        <w:tc>
          <w:tcPr>
            <w:tcW w:w="682" w:type="pct"/>
            <w:vAlign w:val="center"/>
          </w:tcPr>
          <w:p w14:paraId="0FEF1F78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16 (100)</w:t>
            </w:r>
          </w:p>
        </w:tc>
        <w:tc>
          <w:tcPr>
            <w:tcW w:w="682" w:type="pct"/>
            <w:vAlign w:val="center"/>
          </w:tcPr>
          <w:p w14:paraId="6396ED0C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34 (97)</w:t>
            </w:r>
          </w:p>
        </w:tc>
        <w:tc>
          <w:tcPr>
            <w:tcW w:w="683" w:type="pct"/>
            <w:vAlign w:val="center"/>
          </w:tcPr>
          <w:p w14:paraId="3010D6E1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61 (98)</w:t>
            </w:r>
          </w:p>
        </w:tc>
      </w:tr>
      <w:tr w:rsidR="006E4A65" w:rsidRPr="00E169B2" w14:paraId="024F937D" w14:textId="77777777" w:rsidTr="004D63F6">
        <w:trPr>
          <w:trHeight w:val="245"/>
        </w:trPr>
        <w:tc>
          <w:tcPr>
            <w:tcW w:w="1588" w:type="pct"/>
          </w:tcPr>
          <w:p w14:paraId="351B085E" w14:textId="77777777" w:rsidR="006E4A65" w:rsidRPr="00E169B2" w:rsidRDefault="006E4A65" w:rsidP="004D63F6">
            <w:pPr>
              <w:ind w:left="284"/>
              <w:rPr>
                <w:rFonts w:eastAsia="MS Mincho" w:cs="Times New Roman"/>
                <w:bCs/>
                <w:lang w:val="en-GB"/>
              </w:rPr>
            </w:pPr>
            <w:proofErr w:type="spellStart"/>
            <w:r w:rsidRPr="00E169B2">
              <w:rPr>
                <w:rFonts w:eastAsia="MS Mincho" w:cs="Times New Roman"/>
                <w:bCs/>
                <w:lang w:val="en-GB"/>
              </w:rPr>
              <w:t>D</w:t>
            </w:r>
            <w:r w:rsidRPr="00E169B2">
              <w:rPr>
                <w:rFonts w:cs="Arial"/>
                <w:bCs/>
                <w:color w:val="000000" w:themeColor="text1"/>
                <w:kern w:val="24"/>
                <w:lang w:val="en-GB"/>
              </w:rPr>
              <w:t>urvalumab</w:t>
            </w:r>
            <w:proofErr w:type="spellEnd"/>
          </w:p>
        </w:tc>
        <w:tc>
          <w:tcPr>
            <w:tcW w:w="682" w:type="pct"/>
            <w:vAlign w:val="center"/>
          </w:tcPr>
          <w:p w14:paraId="691CCFAB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27 (100)</w:t>
            </w:r>
          </w:p>
        </w:tc>
        <w:tc>
          <w:tcPr>
            <w:tcW w:w="682" w:type="pct"/>
            <w:vAlign w:val="center"/>
          </w:tcPr>
          <w:p w14:paraId="1157C4F1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15 (88)</w:t>
            </w:r>
          </w:p>
        </w:tc>
        <w:tc>
          <w:tcPr>
            <w:tcW w:w="682" w:type="pct"/>
            <w:vAlign w:val="center"/>
          </w:tcPr>
          <w:p w14:paraId="6F2B01A7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14 (88)</w:t>
            </w:r>
          </w:p>
        </w:tc>
        <w:tc>
          <w:tcPr>
            <w:tcW w:w="682" w:type="pct"/>
            <w:vAlign w:val="center"/>
          </w:tcPr>
          <w:p w14:paraId="5FEB5508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31 (89)</w:t>
            </w:r>
          </w:p>
        </w:tc>
        <w:tc>
          <w:tcPr>
            <w:tcW w:w="683" w:type="pct"/>
            <w:vAlign w:val="center"/>
          </w:tcPr>
          <w:p w14:paraId="622A0D5D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58 (94)</w:t>
            </w:r>
          </w:p>
        </w:tc>
      </w:tr>
      <w:tr w:rsidR="006E4A65" w:rsidRPr="00E169B2" w14:paraId="6F744640" w14:textId="77777777" w:rsidTr="004D63F6">
        <w:trPr>
          <w:trHeight w:val="245"/>
        </w:trPr>
        <w:tc>
          <w:tcPr>
            <w:tcW w:w="1588" w:type="pct"/>
          </w:tcPr>
          <w:p w14:paraId="41D9C8B3" w14:textId="77777777" w:rsidR="006E4A65" w:rsidRPr="00E169B2" w:rsidRDefault="006E4A65" w:rsidP="004D63F6">
            <w:pPr>
              <w:ind w:left="284"/>
              <w:rPr>
                <w:rFonts w:eastAsia="MS Mincho" w:cs="Times New Roman"/>
                <w:b/>
                <w:bCs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>I</w:t>
            </w:r>
            <w:r w:rsidRPr="00E169B2">
              <w:rPr>
                <w:rFonts w:cs="Arial"/>
                <w:bCs/>
                <w:color w:val="000000" w:themeColor="text1"/>
                <w:kern w:val="24"/>
                <w:lang w:val="en-GB"/>
              </w:rPr>
              <w:t xml:space="preserve">brutinib and </w:t>
            </w:r>
            <w:proofErr w:type="spellStart"/>
            <w:r w:rsidRPr="00E169B2">
              <w:rPr>
                <w:rFonts w:cs="Arial"/>
                <w:bCs/>
                <w:color w:val="000000" w:themeColor="text1"/>
                <w:kern w:val="24"/>
                <w:lang w:val="en-GB"/>
              </w:rPr>
              <w:t>durvalumab</w:t>
            </w:r>
            <w:proofErr w:type="spellEnd"/>
          </w:p>
        </w:tc>
        <w:tc>
          <w:tcPr>
            <w:tcW w:w="682" w:type="pct"/>
            <w:vAlign w:val="center"/>
          </w:tcPr>
          <w:p w14:paraId="5AF54DE6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27 (100)</w:t>
            </w:r>
          </w:p>
        </w:tc>
        <w:tc>
          <w:tcPr>
            <w:tcW w:w="682" w:type="pct"/>
            <w:vAlign w:val="center"/>
          </w:tcPr>
          <w:p w14:paraId="0FBA5D5B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15 (88)</w:t>
            </w:r>
          </w:p>
        </w:tc>
        <w:tc>
          <w:tcPr>
            <w:tcW w:w="682" w:type="pct"/>
            <w:vAlign w:val="center"/>
          </w:tcPr>
          <w:p w14:paraId="7B9C15A4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14 (88)</w:t>
            </w:r>
          </w:p>
        </w:tc>
        <w:tc>
          <w:tcPr>
            <w:tcW w:w="682" w:type="pct"/>
            <w:vAlign w:val="center"/>
          </w:tcPr>
          <w:p w14:paraId="2DF72D84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31 (89)</w:t>
            </w:r>
          </w:p>
        </w:tc>
        <w:tc>
          <w:tcPr>
            <w:tcW w:w="683" w:type="pct"/>
            <w:vAlign w:val="center"/>
          </w:tcPr>
          <w:p w14:paraId="7E99DB05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58 (94)</w:t>
            </w:r>
          </w:p>
        </w:tc>
      </w:tr>
      <w:tr w:rsidR="006E4A65" w:rsidRPr="00E169B2" w14:paraId="22C2EF08" w14:textId="77777777" w:rsidTr="004D63F6">
        <w:trPr>
          <w:trHeight w:val="245"/>
        </w:trPr>
        <w:tc>
          <w:tcPr>
            <w:tcW w:w="1588" w:type="pct"/>
            <w:hideMark/>
          </w:tcPr>
          <w:p w14:paraId="5AB7F3C5" w14:textId="77777777" w:rsidR="006E4A65" w:rsidRPr="00E169B2" w:rsidRDefault="006E4A65" w:rsidP="004D63F6">
            <w:pPr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>Early discontinuation of ibrutinib, n (%)</w:t>
            </w:r>
          </w:p>
        </w:tc>
        <w:tc>
          <w:tcPr>
            <w:tcW w:w="682" w:type="pct"/>
            <w:vAlign w:val="center"/>
            <w:hideMark/>
          </w:tcPr>
          <w:p w14:paraId="5E0FA368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27 (100)</w:t>
            </w:r>
          </w:p>
        </w:tc>
        <w:tc>
          <w:tcPr>
            <w:tcW w:w="682" w:type="pct"/>
            <w:vAlign w:val="center"/>
            <w:hideMark/>
          </w:tcPr>
          <w:p w14:paraId="18FCBAA1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16 (94)</w:t>
            </w:r>
          </w:p>
        </w:tc>
        <w:tc>
          <w:tcPr>
            <w:tcW w:w="682" w:type="pct"/>
            <w:vAlign w:val="center"/>
            <w:hideMark/>
          </w:tcPr>
          <w:p w14:paraId="329070E8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16 (100)</w:t>
            </w:r>
          </w:p>
        </w:tc>
        <w:tc>
          <w:tcPr>
            <w:tcW w:w="682" w:type="pct"/>
            <w:vAlign w:val="center"/>
            <w:hideMark/>
          </w:tcPr>
          <w:p w14:paraId="6A483385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34 (97)</w:t>
            </w:r>
          </w:p>
        </w:tc>
        <w:tc>
          <w:tcPr>
            <w:tcW w:w="683" w:type="pct"/>
            <w:vAlign w:val="center"/>
            <w:hideMark/>
          </w:tcPr>
          <w:p w14:paraId="6EED5AD7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61 (98)</w:t>
            </w:r>
          </w:p>
        </w:tc>
      </w:tr>
      <w:tr w:rsidR="006E4A65" w:rsidRPr="00E169B2" w14:paraId="17C3B539" w14:textId="77777777" w:rsidTr="004D63F6">
        <w:trPr>
          <w:trHeight w:val="193"/>
        </w:trPr>
        <w:tc>
          <w:tcPr>
            <w:tcW w:w="1588" w:type="pct"/>
            <w:hideMark/>
          </w:tcPr>
          <w:p w14:paraId="2B58C260" w14:textId="77777777" w:rsidR="006E4A65" w:rsidRPr="00E169B2" w:rsidRDefault="006E4A65" w:rsidP="004D63F6">
            <w:pPr>
              <w:ind w:left="284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>PD</w:t>
            </w:r>
          </w:p>
        </w:tc>
        <w:tc>
          <w:tcPr>
            <w:tcW w:w="682" w:type="pct"/>
            <w:vAlign w:val="center"/>
            <w:hideMark/>
          </w:tcPr>
          <w:p w14:paraId="0725A6C2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17 (63)</w:t>
            </w:r>
          </w:p>
        </w:tc>
        <w:tc>
          <w:tcPr>
            <w:tcW w:w="682" w:type="pct"/>
            <w:vAlign w:val="center"/>
            <w:hideMark/>
          </w:tcPr>
          <w:p w14:paraId="4A7B17B3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11 (65)</w:t>
            </w:r>
          </w:p>
        </w:tc>
        <w:tc>
          <w:tcPr>
            <w:tcW w:w="682" w:type="pct"/>
            <w:vAlign w:val="center"/>
            <w:hideMark/>
          </w:tcPr>
          <w:p w14:paraId="6F4902D8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11</w:t>
            </w:r>
            <w:r w:rsidRPr="00E169B2">
              <w:rPr>
                <w:rFonts w:eastAsia="Arial Unicode MS" w:cs="Arial"/>
                <w:b/>
                <w:vertAlign w:val="superscript"/>
                <w:lang w:val="en-GB"/>
              </w:rPr>
              <w:t>†</w:t>
            </w:r>
            <w:r w:rsidRPr="00E169B2">
              <w:rPr>
                <w:rFonts w:eastAsia="MS Mincho" w:cs="Times New Roman"/>
                <w:lang w:val="en-GB"/>
              </w:rPr>
              <w:t xml:space="preserve"> (69)</w:t>
            </w:r>
          </w:p>
        </w:tc>
        <w:tc>
          <w:tcPr>
            <w:tcW w:w="682" w:type="pct"/>
            <w:vAlign w:val="center"/>
            <w:hideMark/>
          </w:tcPr>
          <w:p w14:paraId="5EFF09FC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24</w:t>
            </w:r>
            <w:r w:rsidRPr="00E169B2">
              <w:rPr>
                <w:rFonts w:eastAsia="Arial Unicode MS" w:cs="Arial"/>
                <w:b/>
                <w:vertAlign w:val="superscript"/>
                <w:lang w:val="en-GB"/>
              </w:rPr>
              <w:t>†</w:t>
            </w:r>
            <w:r w:rsidRPr="00E169B2">
              <w:rPr>
                <w:rFonts w:eastAsia="MS Mincho" w:cs="Times New Roman"/>
                <w:lang w:val="en-GB"/>
              </w:rPr>
              <w:t xml:space="preserve"> (69)</w:t>
            </w:r>
          </w:p>
        </w:tc>
        <w:tc>
          <w:tcPr>
            <w:tcW w:w="683" w:type="pct"/>
            <w:vAlign w:val="center"/>
            <w:hideMark/>
          </w:tcPr>
          <w:p w14:paraId="792EE993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41 (66)</w:t>
            </w:r>
          </w:p>
        </w:tc>
      </w:tr>
      <w:tr w:rsidR="006E4A65" w:rsidRPr="00E169B2" w14:paraId="7DF55995" w14:textId="77777777" w:rsidTr="004D63F6">
        <w:trPr>
          <w:trHeight w:val="193"/>
        </w:trPr>
        <w:tc>
          <w:tcPr>
            <w:tcW w:w="1588" w:type="pct"/>
            <w:hideMark/>
          </w:tcPr>
          <w:p w14:paraId="4A0C1942" w14:textId="77777777" w:rsidR="006E4A65" w:rsidRPr="00E169B2" w:rsidRDefault="006E4A65" w:rsidP="004D63F6">
            <w:pPr>
              <w:ind w:left="284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 xml:space="preserve">Study terminated by sponsor </w:t>
            </w:r>
          </w:p>
        </w:tc>
        <w:tc>
          <w:tcPr>
            <w:tcW w:w="682" w:type="pct"/>
            <w:vAlign w:val="center"/>
            <w:hideMark/>
          </w:tcPr>
          <w:p w14:paraId="4D31D2BD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5 (19)</w:t>
            </w:r>
          </w:p>
        </w:tc>
        <w:tc>
          <w:tcPr>
            <w:tcW w:w="682" w:type="pct"/>
            <w:vAlign w:val="center"/>
            <w:hideMark/>
          </w:tcPr>
          <w:p w14:paraId="0B6E8DBB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 (6)</w:t>
            </w:r>
          </w:p>
        </w:tc>
        <w:tc>
          <w:tcPr>
            <w:tcW w:w="682" w:type="pct"/>
            <w:vAlign w:val="center"/>
            <w:hideMark/>
          </w:tcPr>
          <w:p w14:paraId="2B3FF615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3 (19)</w:t>
            </w:r>
          </w:p>
        </w:tc>
        <w:tc>
          <w:tcPr>
            <w:tcW w:w="682" w:type="pct"/>
            <w:vAlign w:val="center"/>
            <w:hideMark/>
          </w:tcPr>
          <w:p w14:paraId="4FD0517B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4 (11)</w:t>
            </w:r>
          </w:p>
        </w:tc>
        <w:tc>
          <w:tcPr>
            <w:tcW w:w="683" w:type="pct"/>
            <w:vAlign w:val="center"/>
            <w:hideMark/>
          </w:tcPr>
          <w:p w14:paraId="05D2AAF6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9 (15)</w:t>
            </w:r>
          </w:p>
        </w:tc>
      </w:tr>
      <w:tr w:rsidR="006E4A65" w:rsidRPr="00E169B2" w14:paraId="4B236C34" w14:textId="77777777" w:rsidTr="004D63F6">
        <w:trPr>
          <w:trHeight w:val="193"/>
        </w:trPr>
        <w:tc>
          <w:tcPr>
            <w:tcW w:w="1588" w:type="pct"/>
            <w:hideMark/>
          </w:tcPr>
          <w:p w14:paraId="487AAE80" w14:textId="77777777" w:rsidR="006E4A65" w:rsidRPr="00E169B2" w:rsidRDefault="006E4A65" w:rsidP="004D63F6">
            <w:pPr>
              <w:ind w:left="284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>Investigator decision</w:t>
            </w:r>
          </w:p>
        </w:tc>
        <w:tc>
          <w:tcPr>
            <w:tcW w:w="682" w:type="pct"/>
            <w:vAlign w:val="center"/>
            <w:hideMark/>
          </w:tcPr>
          <w:p w14:paraId="25854AA1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3 (11)</w:t>
            </w:r>
          </w:p>
        </w:tc>
        <w:tc>
          <w:tcPr>
            <w:tcW w:w="682" w:type="pct"/>
            <w:vAlign w:val="center"/>
            <w:hideMark/>
          </w:tcPr>
          <w:p w14:paraId="058CCC12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 (6)</w:t>
            </w:r>
          </w:p>
        </w:tc>
        <w:tc>
          <w:tcPr>
            <w:tcW w:w="682" w:type="pct"/>
            <w:vAlign w:val="center"/>
            <w:hideMark/>
          </w:tcPr>
          <w:p w14:paraId="057D9041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 (6)</w:t>
            </w:r>
          </w:p>
        </w:tc>
        <w:tc>
          <w:tcPr>
            <w:tcW w:w="682" w:type="pct"/>
            <w:vAlign w:val="center"/>
            <w:hideMark/>
          </w:tcPr>
          <w:p w14:paraId="3D13CC8E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2 (6)</w:t>
            </w:r>
          </w:p>
        </w:tc>
        <w:tc>
          <w:tcPr>
            <w:tcW w:w="683" w:type="pct"/>
            <w:vAlign w:val="center"/>
            <w:hideMark/>
          </w:tcPr>
          <w:p w14:paraId="3B9B2D3E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5 (8)</w:t>
            </w:r>
          </w:p>
        </w:tc>
      </w:tr>
      <w:tr w:rsidR="006E4A65" w:rsidRPr="00E169B2" w14:paraId="660379A4" w14:textId="77777777" w:rsidTr="004D63F6">
        <w:trPr>
          <w:trHeight w:val="193"/>
        </w:trPr>
        <w:tc>
          <w:tcPr>
            <w:tcW w:w="1588" w:type="pct"/>
            <w:hideMark/>
          </w:tcPr>
          <w:p w14:paraId="28FAE813" w14:textId="77777777" w:rsidR="006E4A65" w:rsidRPr="00E169B2" w:rsidRDefault="006E4A65" w:rsidP="004D63F6">
            <w:pPr>
              <w:ind w:left="284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>AE not related to PD</w:t>
            </w:r>
          </w:p>
        </w:tc>
        <w:tc>
          <w:tcPr>
            <w:tcW w:w="682" w:type="pct"/>
            <w:vAlign w:val="center"/>
            <w:hideMark/>
          </w:tcPr>
          <w:p w14:paraId="3CA5EAEF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2" w:type="pct"/>
            <w:vAlign w:val="center"/>
            <w:hideMark/>
          </w:tcPr>
          <w:p w14:paraId="443297FC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3 (18)</w:t>
            </w:r>
          </w:p>
        </w:tc>
        <w:tc>
          <w:tcPr>
            <w:tcW w:w="682" w:type="pct"/>
            <w:vAlign w:val="center"/>
            <w:hideMark/>
          </w:tcPr>
          <w:p w14:paraId="63FD6B1F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2" w:type="pct"/>
            <w:vAlign w:val="center"/>
            <w:hideMark/>
          </w:tcPr>
          <w:p w14:paraId="0C037688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3 (9)</w:t>
            </w:r>
          </w:p>
        </w:tc>
        <w:tc>
          <w:tcPr>
            <w:tcW w:w="683" w:type="pct"/>
            <w:vAlign w:val="center"/>
            <w:hideMark/>
          </w:tcPr>
          <w:p w14:paraId="7BE6F2F4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3 (5)</w:t>
            </w:r>
          </w:p>
        </w:tc>
      </w:tr>
      <w:tr w:rsidR="006E4A65" w:rsidRPr="00E169B2" w14:paraId="1C882AB7" w14:textId="77777777" w:rsidTr="004D63F6">
        <w:trPr>
          <w:trHeight w:val="193"/>
        </w:trPr>
        <w:tc>
          <w:tcPr>
            <w:tcW w:w="1588" w:type="pct"/>
            <w:hideMark/>
          </w:tcPr>
          <w:p w14:paraId="2E5E8449" w14:textId="77777777" w:rsidR="006E4A65" w:rsidRPr="00E169B2" w:rsidRDefault="006E4A65" w:rsidP="004D63F6">
            <w:pPr>
              <w:ind w:left="284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 xml:space="preserve">Withdrawal of consent </w:t>
            </w:r>
          </w:p>
        </w:tc>
        <w:tc>
          <w:tcPr>
            <w:tcW w:w="682" w:type="pct"/>
            <w:vAlign w:val="center"/>
            <w:hideMark/>
          </w:tcPr>
          <w:p w14:paraId="7B05BA16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2 (7)</w:t>
            </w:r>
          </w:p>
        </w:tc>
        <w:tc>
          <w:tcPr>
            <w:tcW w:w="682" w:type="pct"/>
            <w:vAlign w:val="center"/>
            <w:hideMark/>
          </w:tcPr>
          <w:p w14:paraId="25C0C878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2" w:type="pct"/>
            <w:vAlign w:val="center"/>
            <w:hideMark/>
          </w:tcPr>
          <w:p w14:paraId="6FD75B6A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 (6)</w:t>
            </w:r>
          </w:p>
        </w:tc>
        <w:tc>
          <w:tcPr>
            <w:tcW w:w="682" w:type="pct"/>
            <w:vAlign w:val="center"/>
            <w:hideMark/>
          </w:tcPr>
          <w:p w14:paraId="33DAD7B6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 (3)</w:t>
            </w:r>
          </w:p>
        </w:tc>
        <w:tc>
          <w:tcPr>
            <w:tcW w:w="683" w:type="pct"/>
            <w:vAlign w:val="center"/>
            <w:hideMark/>
          </w:tcPr>
          <w:p w14:paraId="6D9231AA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3 (5)</w:t>
            </w:r>
          </w:p>
        </w:tc>
      </w:tr>
      <w:tr w:rsidR="006E4A65" w:rsidRPr="00E169B2" w14:paraId="0C1AA1D5" w14:textId="77777777" w:rsidTr="004D63F6">
        <w:trPr>
          <w:trHeight w:val="193"/>
        </w:trPr>
        <w:tc>
          <w:tcPr>
            <w:tcW w:w="1588" w:type="pct"/>
            <w:hideMark/>
          </w:tcPr>
          <w:p w14:paraId="2EDB6DF2" w14:textId="77777777" w:rsidR="006E4A65" w:rsidRPr="00E169B2" w:rsidRDefault="006E4A65" w:rsidP="004D63F6">
            <w:pPr>
              <w:ind w:left="284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 xml:space="preserve">Death </w:t>
            </w:r>
          </w:p>
        </w:tc>
        <w:tc>
          <w:tcPr>
            <w:tcW w:w="682" w:type="pct"/>
            <w:vAlign w:val="center"/>
            <w:hideMark/>
          </w:tcPr>
          <w:p w14:paraId="3315B0FC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2" w:type="pct"/>
            <w:vAlign w:val="center"/>
            <w:hideMark/>
          </w:tcPr>
          <w:p w14:paraId="623385BE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2" w:type="pct"/>
            <w:vAlign w:val="center"/>
            <w:hideMark/>
          </w:tcPr>
          <w:p w14:paraId="6D9EADD3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2" w:type="pct"/>
            <w:vAlign w:val="center"/>
            <w:hideMark/>
          </w:tcPr>
          <w:p w14:paraId="7B7F75C1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3" w:type="pct"/>
            <w:vAlign w:val="center"/>
            <w:hideMark/>
          </w:tcPr>
          <w:p w14:paraId="63D561ED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</w:tr>
      <w:tr w:rsidR="006E4A65" w:rsidRPr="00E169B2" w14:paraId="7634CF41" w14:textId="77777777" w:rsidTr="004D63F6">
        <w:trPr>
          <w:trHeight w:val="193"/>
        </w:trPr>
        <w:tc>
          <w:tcPr>
            <w:tcW w:w="1588" w:type="pct"/>
            <w:hideMark/>
          </w:tcPr>
          <w:p w14:paraId="74BF2EF5" w14:textId="77777777" w:rsidR="006E4A65" w:rsidRPr="00E169B2" w:rsidRDefault="006E4A65" w:rsidP="004D63F6">
            <w:pPr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 xml:space="preserve">Early discontinuation of </w:t>
            </w:r>
            <w:proofErr w:type="spellStart"/>
            <w:r w:rsidRPr="00E169B2">
              <w:rPr>
                <w:rFonts w:eastAsia="MS Mincho" w:cs="Times New Roman"/>
                <w:bCs/>
                <w:lang w:val="en-GB"/>
              </w:rPr>
              <w:t>durvalumab</w:t>
            </w:r>
            <w:proofErr w:type="spellEnd"/>
            <w:r w:rsidRPr="00E169B2">
              <w:rPr>
                <w:rFonts w:eastAsia="MS Mincho" w:cs="Times New Roman"/>
                <w:bCs/>
                <w:lang w:val="en-GB"/>
              </w:rPr>
              <w:t>, n (%)</w:t>
            </w:r>
          </w:p>
        </w:tc>
        <w:tc>
          <w:tcPr>
            <w:tcW w:w="682" w:type="pct"/>
            <w:vAlign w:val="center"/>
            <w:hideMark/>
          </w:tcPr>
          <w:p w14:paraId="65797140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19 (70)</w:t>
            </w:r>
          </w:p>
        </w:tc>
        <w:tc>
          <w:tcPr>
            <w:tcW w:w="682" w:type="pct"/>
            <w:vAlign w:val="center"/>
            <w:hideMark/>
          </w:tcPr>
          <w:p w14:paraId="7EFA9503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15 (88)</w:t>
            </w:r>
          </w:p>
        </w:tc>
        <w:tc>
          <w:tcPr>
            <w:tcW w:w="682" w:type="pct"/>
            <w:vAlign w:val="center"/>
            <w:hideMark/>
          </w:tcPr>
          <w:p w14:paraId="6E33A273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10 (63)</w:t>
            </w:r>
          </w:p>
        </w:tc>
        <w:tc>
          <w:tcPr>
            <w:tcW w:w="682" w:type="pct"/>
            <w:vAlign w:val="center"/>
            <w:hideMark/>
          </w:tcPr>
          <w:p w14:paraId="4DEC1A7A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27 (77)</w:t>
            </w:r>
          </w:p>
        </w:tc>
        <w:tc>
          <w:tcPr>
            <w:tcW w:w="683" w:type="pct"/>
            <w:vAlign w:val="center"/>
            <w:hideMark/>
          </w:tcPr>
          <w:p w14:paraId="75C0882B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46 (74)</w:t>
            </w:r>
          </w:p>
        </w:tc>
      </w:tr>
      <w:tr w:rsidR="006E4A65" w:rsidRPr="00E169B2" w14:paraId="76EBADD8" w14:textId="77777777" w:rsidTr="004D63F6">
        <w:trPr>
          <w:trHeight w:val="193"/>
        </w:trPr>
        <w:tc>
          <w:tcPr>
            <w:tcW w:w="1588" w:type="pct"/>
            <w:hideMark/>
          </w:tcPr>
          <w:p w14:paraId="62FFF7B5" w14:textId="77777777" w:rsidR="006E4A65" w:rsidRPr="00E169B2" w:rsidRDefault="006E4A65" w:rsidP="004D63F6">
            <w:pPr>
              <w:ind w:left="284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>PD</w:t>
            </w:r>
          </w:p>
        </w:tc>
        <w:tc>
          <w:tcPr>
            <w:tcW w:w="682" w:type="pct"/>
            <w:vAlign w:val="center"/>
            <w:hideMark/>
          </w:tcPr>
          <w:p w14:paraId="10CEC7C7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14 (52)</w:t>
            </w:r>
          </w:p>
        </w:tc>
        <w:tc>
          <w:tcPr>
            <w:tcW w:w="682" w:type="pct"/>
            <w:vAlign w:val="center"/>
            <w:hideMark/>
          </w:tcPr>
          <w:p w14:paraId="67D2DBC8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10 (59)</w:t>
            </w:r>
          </w:p>
        </w:tc>
        <w:tc>
          <w:tcPr>
            <w:tcW w:w="682" w:type="pct"/>
            <w:vAlign w:val="center"/>
            <w:hideMark/>
          </w:tcPr>
          <w:p w14:paraId="1F46743B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9 (56)</w:t>
            </w:r>
          </w:p>
        </w:tc>
        <w:tc>
          <w:tcPr>
            <w:tcW w:w="682" w:type="pct"/>
            <w:vAlign w:val="center"/>
            <w:hideMark/>
          </w:tcPr>
          <w:p w14:paraId="6CE5B67A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21 (60)</w:t>
            </w:r>
          </w:p>
        </w:tc>
        <w:tc>
          <w:tcPr>
            <w:tcW w:w="683" w:type="pct"/>
            <w:vAlign w:val="center"/>
            <w:hideMark/>
          </w:tcPr>
          <w:p w14:paraId="43964541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35 (56)</w:t>
            </w:r>
          </w:p>
        </w:tc>
      </w:tr>
      <w:tr w:rsidR="006E4A65" w:rsidRPr="00E169B2" w14:paraId="3DBC5D17" w14:textId="77777777" w:rsidTr="004D63F6">
        <w:trPr>
          <w:trHeight w:val="193"/>
        </w:trPr>
        <w:tc>
          <w:tcPr>
            <w:tcW w:w="1588" w:type="pct"/>
            <w:hideMark/>
          </w:tcPr>
          <w:p w14:paraId="4A793280" w14:textId="77777777" w:rsidR="006E4A65" w:rsidRPr="00E169B2" w:rsidRDefault="006E4A65" w:rsidP="004D63F6">
            <w:pPr>
              <w:ind w:left="284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 xml:space="preserve">Study terminated by sponsor </w:t>
            </w:r>
          </w:p>
        </w:tc>
        <w:tc>
          <w:tcPr>
            <w:tcW w:w="682" w:type="pct"/>
            <w:vAlign w:val="center"/>
            <w:hideMark/>
          </w:tcPr>
          <w:p w14:paraId="26933C3B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2" w:type="pct"/>
            <w:vAlign w:val="center"/>
            <w:hideMark/>
          </w:tcPr>
          <w:p w14:paraId="797A7434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2" w:type="pct"/>
            <w:vAlign w:val="center"/>
            <w:hideMark/>
          </w:tcPr>
          <w:p w14:paraId="69C8E7BF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2" w:type="pct"/>
            <w:vAlign w:val="center"/>
            <w:hideMark/>
          </w:tcPr>
          <w:p w14:paraId="5B6F8A23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3" w:type="pct"/>
            <w:vAlign w:val="center"/>
            <w:hideMark/>
          </w:tcPr>
          <w:p w14:paraId="6113554D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</w:tr>
      <w:tr w:rsidR="006E4A65" w:rsidRPr="00E169B2" w14:paraId="4215B513" w14:textId="77777777" w:rsidTr="004D63F6">
        <w:trPr>
          <w:trHeight w:val="193"/>
        </w:trPr>
        <w:tc>
          <w:tcPr>
            <w:tcW w:w="1588" w:type="pct"/>
            <w:hideMark/>
          </w:tcPr>
          <w:p w14:paraId="7E4C0754" w14:textId="77777777" w:rsidR="006E4A65" w:rsidRPr="00E169B2" w:rsidRDefault="006E4A65" w:rsidP="004D63F6">
            <w:pPr>
              <w:ind w:left="284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>Investigator decision</w:t>
            </w:r>
          </w:p>
        </w:tc>
        <w:tc>
          <w:tcPr>
            <w:tcW w:w="682" w:type="pct"/>
            <w:vAlign w:val="center"/>
            <w:hideMark/>
          </w:tcPr>
          <w:p w14:paraId="45C228C3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2 (7)</w:t>
            </w:r>
          </w:p>
        </w:tc>
        <w:tc>
          <w:tcPr>
            <w:tcW w:w="682" w:type="pct"/>
            <w:vAlign w:val="center"/>
            <w:hideMark/>
          </w:tcPr>
          <w:p w14:paraId="44A2956F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3 (18)</w:t>
            </w:r>
          </w:p>
        </w:tc>
        <w:tc>
          <w:tcPr>
            <w:tcW w:w="682" w:type="pct"/>
            <w:vAlign w:val="center"/>
            <w:hideMark/>
          </w:tcPr>
          <w:p w14:paraId="2C4B9FF0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2" w:type="pct"/>
            <w:vAlign w:val="center"/>
            <w:hideMark/>
          </w:tcPr>
          <w:p w14:paraId="6C438124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3 (9)</w:t>
            </w:r>
          </w:p>
        </w:tc>
        <w:tc>
          <w:tcPr>
            <w:tcW w:w="683" w:type="pct"/>
            <w:vAlign w:val="center"/>
            <w:hideMark/>
          </w:tcPr>
          <w:p w14:paraId="74BE42CD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5 (8)</w:t>
            </w:r>
          </w:p>
        </w:tc>
      </w:tr>
      <w:tr w:rsidR="006E4A65" w:rsidRPr="00E169B2" w14:paraId="60659670" w14:textId="77777777" w:rsidTr="004D63F6">
        <w:trPr>
          <w:trHeight w:val="193"/>
        </w:trPr>
        <w:tc>
          <w:tcPr>
            <w:tcW w:w="1588" w:type="pct"/>
            <w:hideMark/>
          </w:tcPr>
          <w:p w14:paraId="55D06474" w14:textId="77777777" w:rsidR="006E4A65" w:rsidRPr="00E169B2" w:rsidRDefault="006E4A65" w:rsidP="004D63F6">
            <w:pPr>
              <w:ind w:left="284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>AE not related to PD</w:t>
            </w:r>
          </w:p>
        </w:tc>
        <w:tc>
          <w:tcPr>
            <w:tcW w:w="682" w:type="pct"/>
            <w:vAlign w:val="center"/>
            <w:hideMark/>
          </w:tcPr>
          <w:p w14:paraId="36AAAC14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 (4)</w:t>
            </w:r>
          </w:p>
        </w:tc>
        <w:tc>
          <w:tcPr>
            <w:tcW w:w="682" w:type="pct"/>
            <w:vAlign w:val="center"/>
            <w:hideMark/>
          </w:tcPr>
          <w:p w14:paraId="4C98515C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2 (12)</w:t>
            </w:r>
          </w:p>
        </w:tc>
        <w:tc>
          <w:tcPr>
            <w:tcW w:w="682" w:type="pct"/>
            <w:vAlign w:val="center"/>
            <w:hideMark/>
          </w:tcPr>
          <w:p w14:paraId="0A7604F3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1 (6)</w:t>
            </w:r>
          </w:p>
        </w:tc>
        <w:tc>
          <w:tcPr>
            <w:tcW w:w="682" w:type="pct"/>
            <w:vAlign w:val="center"/>
            <w:hideMark/>
          </w:tcPr>
          <w:p w14:paraId="6CA89F8A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3 (9)</w:t>
            </w:r>
          </w:p>
        </w:tc>
        <w:tc>
          <w:tcPr>
            <w:tcW w:w="683" w:type="pct"/>
            <w:vAlign w:val="center"/>
            <w:hideMark/>
          </w:tcPr>
          <w:p w14:paraId="1BFD52FE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4 (6)</w:t>
            </w:r>
          </w:p>
        </w:tc>
      </w:tr>
      <w:tr w:rsidR="006E4A65" w:rsidRPr="00E169B2" w14:paraId="3C1D693D" w14:textId="77777777" w:rsidTr="004D63F6">
        <w:trPr>
          <w:trHeight w:val="193"/>
        </w:trPr>
        <w:tc>
          <w:tcPr>
            <w:tcW w:w="1588" w:type="pct"/>
            <w:hideMark/>
          </w:tcPr>
          <w:p w14:paraId="3449416C" w14:textId="77777777" w:rsidR="006E4A65" w:rsidRPr="00E169B2" w:rsidRDefault="006E4A65" w:rsidP="004D63F6">
            <w:pPr>
              <w:ind w:left="284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 xml:space="preserve">Withdrawal of consent </w:t>
            </w:r>
          </w:p>
        </w:tc>
        <w:tc>
          <w:tcPr>
            <w:tcW w:w="682" w:type="pct"/>
            <w:vAlign w:val="center"/>
            <w:hideMark/>
          </w:tcPr>
          <w:p w14:paraId="795F93F0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2 (7)</w:t>
            </w:r>
          </w:p>
        </w:tc>
        <w:tc>
          <w:tcPr>
            <w:tcW w:w="682" w:type="pct"/>
            <w:vAlign w:val="center"/>
            <w:hideMark/>
          </w:tcPr>
          <w:p w14:paraId="62BB57DF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2" w:type="pct"/>
            <w:vAlign w:val="center"/>
            <w:hideMark/>
          </w:tcPr>
          <w:p w14:paraId="4826DF40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2" w:type="pct"/>
            <w:vAlign w:val="center"/>
            <w:hideMark/>
          </w:tcPr>
          <w:p w14:paraId="164F80E8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3" w:type="pct"/>
            <w:vAlign w:val="center"/>
            <w:hideMark/>
          </w:tcPr>
          <w:p w14:paraId="0310F1EB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2 (3)</w:t>
            </w:r>
          </w:p>
        </w:tc>
      </w:tr>
      <w:tr w:rsidR="006E4A65" w:rsidRPr="00E169B2" w14:paraId="21CEF2DE" w14:textId="77777777" w:rsidTr="004D63F6">
        <w:trPr>
          <w:trHeight w:val="193"/>
        </w:trPr>
        <w:tc>
          <w:tcPr>
            <w:tcW w:w="1588" w:type="pct"/>
            <w:hideMark/>
          </w:tcPr>
          <w:p w14:paraId="4F5B0AB9" w14:textId="77777777" w:rsidR="006E4A65" w:rsidRPr="00E169B2" w:rsidRDefault="006E4A65" w:rsidP="004D63F6">
            <w:pPr>
              <w:ind w:left="284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bCs/>
                <w:lang w:val="en-GB"/>
              </w:rPr>
              <w:t xml:space="preserve">Death </w:t>
            </w:r>
          </w:p>
        </w:tc>
        <w:tc>
          <w:tcPr>
            <w:tcW w:w="682" w:type="pct"/>
            <w:vAlign w:val="center"/>
            <w:hideMark/>
          </w:tcPr>
          <w:p w14:paraId="72B74993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2" w:type="pct"/>
            <w:vAlign w:val="center"/>
            <w:hideMark/>
          </w:tcPr>
          <w:p w14:paraId="7C8E7B98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2" w:type="pct"/>
            <w:vAlign w:val="center"/>
            <w:hideMark/>
          </w:tcPr>
          <w:p w14:paraId="01286557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2" w:type="pct"/>
            <w:vAlign w:val="center"/>
            <w:hideMark/>
          </w:tcPr>
          <w:p w14:paraId="05C47C79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  <w:tc>
          <w:tcPr>
            <w:tcW w:w="683" w:type="pct"/>
            <w:vAlign w:val="center"/>
            <w:hideMark/>
          </w:tcPr>
          <w:p w14:paraId="5DE7D478" w14:textId="77777777" w:rsidR="006E4A65" w:rsidRPr="00E169B2" w:rsidRDefault="006E4A65" w:rsidP="004D63F6">
            <w:pPr>
              <w:jc w:val="center"/>
              <w:rPr>
                <w:rFonts w:eastAsia="MS Mincho" w:cs="Times New Roman"/>
                <w:lang w:val="en-GB"/>
              </w:rPr>
            </w:pPr>
            <w:r w:rsidRPr="00E169B2">
              <w:rPr>
                <w:rFonts w:eastAsia="MS Mincho" w:cs="Times New Roman"/>
                <w:lang w:val="en-GB"/>
              </w:rPr>
              <w:t>0</w:t>
            </w:r>
          </w:p>
        </w:tc>
      </w:tr>
    </w:tbl>
    <w:p w14:paraId="1B47FF20" w14:textId="77777777" w:rsidR="006E4A65" w:rsidRPr="00E169B2" w:rsidRDefault="006E4A65" w:rsidP="006E4A65">
      <w:pPr>
        <w:spacing w:after="0" w:line="480" w:lineRule="auto"/>
        <w:rPr>
          <w:rFonts w:eastAsia="MS Mincho" w:cs="Times New Roman"/>
          <w:lang w:val="en-GB"/>
        </w:rPr>
      </w:pPr>
      <w:r w:rsidRPr="00E169B2">
        <w:rPr>
          <w:rFonts w:eastAsia="MS Mincho" w:cs="Times New Roman"/>
          <w:lang w:val="en-GB"/>
        </w:rPr>
        <w:t>AE, adverse event; DLBCL, diffuse large B-cell lymphoma; FL, follicular lymphoma; GCB, germinal center B-cell; PD, progressive disease.</w:t>
      </w:r>
    </w:p>
    <w:p w14:paraId="34132540" w14:textId="77777777" w:rsidR="006E4A65" w:rsidRPr="00E169B2" w:rsidRDefault="006E4A65" w:rsidP="006E4A65">
      <w:pPr>
        <w:spacing w:after="0" w:line="480" w:lineRule="auto"/>
        <w:rPr>
          <w:rFonts w:eastAsia="MS Mincho" w:cs="Arial"/>
          <w:lang w:val="en-GB"/>
        </w:rPr>
      </w:pPr>
      <w:r w:rsidRPr="00E169B2">
        <w:rPr>
          <w:rFonts w:eastAsia="MS Mincho" w:cs="Times New Roman"/>
          <w:lang w:val="en-GB"/>
        </w:rPr>
        <w:t xml:space="preserve">*Includes patients with GCB DLBCL, non-GCB DLBCL, and unspecified </w:t>
      </w:r>
      <w:r w:rsidRPr="00E169B2">
        <w:rPr>
          <w:rFonts w:eastAsia="MS Mincho" w:cs="Arial"/>
          <w:lang w:val="en-GB"/>
        </w:rPr>
        <w:t xml:space="preserve">DLBCL; </w:t>
      </w:r>
      <w:r w:rsidRPr="00E169B2">
        <w:rPr>
          <w:rFonts w:eastAsia="Arial Unicode MS" w:cs="Arial"/>
          <w:b/>
          <w:vertAlign w:val="superscript"/>
          <w:lang w:val="en-GB"/>
        </w:rPr>
        <w:t>†</w:t>
      </w:r>
      <w:r w:rsidRPr="00E169B2">
        <w:rPr>
          <w:rFonts w:eastAsia="Arial Unicode MS" w:cs="Arial"/>
          <w:lang w:val="en-GB"/>
        </w:rPr>
        <w:t>Includes one non-GCB DLBCL patient who was also reported to have an AE (not related to PD) leading to ibrutinib discontinuation.</w:t>
      </w:r>
    </w:p>
    <w:p w14:paraId="5D88CBAF" w14:textId="77777777" w:rsidR="006E4A65" w:rsidRPr="00E169B2" w:rsidRDefault="006E4A65" w:rsidP="006E4A65">
      <w:pPr>
        <w:spacing w:after="0" w:line="480" w:lineRule="auto"/>
        <w:rPr>
          <w:rFonts w:cs="Arial"/>
          <w:b/>
          <w:lang w:val="en-GB"/>
        </w:rPr>
      </w:pPr>
    </w:p>
    <w:bookmarkEnd w:id="0"/>
    <w:p w14:paraId="63FAE4B2" w14:textId="77777777" w:rsidR="006E4A65" w:rsidRPr="00E169B2" w:rsidRDefault="006E4A65" w:rsidP="006E4A65">
      <w:pPr>
        <w:spacing w:after="0" w:line="480" w:lineRule="auto"/>
        <w:rPr>
          <w:rFonts w:cs="Arial"/>
          <w:lang w:val="en-GB"/>
        </w:rPr>
      </w:pPr>
      <w:r w:rsidRPr="00E169B2">
        <w:rPr>
          <w:rFonts w:cs="Arial"/>
          <w:b/>
          <w:bCs/>
          <w:lang w:val="en-GB"/>
        </w:rPr>
        <w:lastRenderedPageBreak/>
        <w:t xml:space="preserve">Supplemental Figure 1. </w:t>
      </w:r>
      <w:r w:rsidRPr="00E169B2">
        <w:rPr>
          <w:rFonts w:cs="Arial"/>
          <w:bCs/>
          <w:lang w:val="en-GB"/>
        </w:rPr>
        <w:t>Change in</w:t>
      </w:r>
      <w:r w:rsidRPr="00E169B2">
        <w:rPr>
          <w:rFonts w:cs="Arial"/>
          <w:b/>
          <w:bCs/>
          <w:lang w:val="en-GB"/>
        </w:rPr>
        <w:t xml:space="preserve"> </w:t>
      </w:r>
      <w:r w:rsidRPr="00E169B2">
        <w:rPr>
          <w:rFonts w:cs="Arial"/>
          <w:lang w:val="en-GB"/>
        </w:rPr>
        <w:t xml:space="preserve">maximum </w:t>
      </w:r>
      <w:proofErr w:type="spellStart"/>
      <w:r w:rsidRPr="00E169B2">
        <w:rPr>
          <w:rFonts w:cs="Arial"/>
          <w:lang w:val="en-GB"/>
        </w:rPr>
        <w:t>tumor</w:t>
      </w:r>
      <w:proofErr w:type="spellEnd"/>
      <w:r w:rsidRPr="00E169B2">
        <w:rPr>
          <w:rFonts w:cs="Arial"/>
          <w:lang w:val="en-GB"/>
        </w:rPr>
        <w:t xml:space="preserve"> size from baseline in patients with (A) FL and (B) DLBCL. DLBCL, diffuse large B-cell lymphoma; FL, follicular lymphoma; GCB, germinal center B-cell. “*” indicates best overall response of CR or PR.</w:t>
      </w:r>
    </w:p>
    <w:p w14:paraId="2B245EA0" w14:textId="77777777" w:rsidR="006E4A65" w:rsidRPr="00E169B2" w:rsidRDefault="006E4A65" w:rsidP="006E4A65">
      <w:pPr>
        <w:spacing w:after="0" w:line="480" w:lineRule="auto"/>
        <w:rPr>
          <w:rFonts w:cs="Arial"/>
          <w:lang w:val="en-GB"/>
        </w:rPr>
      </w:pPr>
      <w:r w:rsidRPr="00E169B2">
        <w:rPr>
          <w:rFonts w:cs="Arial"/>
          <w:lang w:val="en-GB"/>
        </w:rPr>
        <w:t xml:space="preserve"> </w:t>
      </w:r>
      <w:r w:rsidRPr="00E169B2">
        <w:rPr>
          <w:noProof/>
        </w:rPr>
        <w:drawing>
          <wp:inline distT="0" distB="0" distL="0" distR="0" wp14:anchorId="0E9A5E50" wp14:editId="5320DA6F">
            <wp:extent cx="4638675" cy="46386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EF16C" w14:textId="77777777" w:rsidR="006E4A65" w:rsidRPr="00E169B2" w:rsidRDefault="006E4A65" w:rsidP="006E4A65">
      <w:pPr>
        <w:spacing w:after="0" w:line="480" w:lineRule="auto"/>
        <w:rPr>
          <w:rFonts w:cs="Arial"/>
          <w:lang w:val="en-GB"/>
        </w:rPr>
      </w:pPr>
      <w:r w:rsidRPr="00E169B2">
        <w:rPr>
          <w:rFonts w:cs="Arial"/>
          <w:b/>
          <w:lang w:val="en-GB"/>
        </w:rPr>
        <w:lastRenderedPageBreak/>
        <w:t>Supplemental Figure 2.</w:t>
      </w:r>
      <w:r w:rsidRPr="00E169B2">
        <w:rPr>
          <w:rFonts w:cs="Arial"/>
          <w:lang w:val="en-GB"/>
        </w:rPr>
        <w:t xml:space="preserve"> Correlation </w:t>
      </w:r>
      <w:bookmarkStart w:id="1" w:name="_GoBack"/>
      <w:bookmarkEnd w:id="1"/>
      <w:r w:rsidRPr="00E169B2">
        <w:rPr>
          <w:rFonts w:cs="Arial"/>
          <w:lang w:val="en-GB"/>
        </w:rPr>
        <w:t xml:space="preserve">of </w:t>
      </w:r>
      <w:r w:rsidRPr="00E169B2">
        <w:rPr>
          <w:rFonts w:cs="Arial"/>
          <w:i/>
          <w:iCs/>
          <w:lang w:val="en-GB"/>
        </w:rPr>
        <w:t>CANT1</w:t>
      </w:r>
      <w:r w:rsidRPr="00E169B2">
        <w:rPr>
          <w:rFonts w:cs="Arial"/>
          <w:lang w:val="en-GB"/>
        </w:rPr>
        <w:t xml:space="preserve"> (A) and </w:t>
      </w:r>
      <w:r w:rsidRPr="00E169B2">
        <w:rPr>
          <w:rFonts w:cs="Arial"/>
          <w:i/>
          <w:iCs/>
          <w:lang w:val="en-GB"/>
        </w:rPr>
        <w:t>HIST1H1E</w:t>
      </w:r>
      <w:r w:rsidRPr="00E169B2">
        <w:rPr>
          <w:rFonts w:cs="Arial"/>
          <w:lang w:val="en-GB"/>
        </w:rPr>
        <w:t xml:space="preserve"> (B) baseline somatic variants with maximal </w:t>
      </w:r>
      <w:proofErr w:type="spellStart"/>
      <w:r w:rsidRPr="00E169B2">
        <w:rPr>
          <w:rFonts w:cs="Arial"/>
          <w:lang w:val="en-GB"/>
        </w:rPr>
        <w:t>tumor</w:t>
      </w:r>
      <w:proofErr w:type="spellEnd"/>
      <w:r w:rsidRPr="00E169B2">
        <w:rPr>
          <w:rFonts w:cs="Arial"/>
          <w:lang w:val="en-GB"/>
        </w:rPr>
        <w:t xml:space="preserve"> shrinkage from baseline in FL. SPD, sum of the product of the diameters. </w:t>
      </w:r>
    </w:p>
    <w:p w14:paraId="48909925" w14:textId="77777777" w:rsidR="006E4A65" w:rsidRPr="00E169B2" w:rsidRDefault="006E4A65" w:rsidP="006E4A65">
      <w:pPr>
        <w:spacing w:after="0" w:line="480" w:lineRule="auto"/>
        <w:rPr>
          <w:rFonts w:cs="Arial"/>
          <w:lang w:val="en-GB"/>
        </w:rPr>
      </w:pPr>
    </w:p>
    <w:p w14:paraId="6E500345" w14:textId="77777777" w:rsidR="006E4A65" w:rsidRPr="00953A9A" w:rsidRDefault="006E4A65" w:rsidP="006E4A65">
      <w:pPr>
        <w:spacing w:after="0" w:line="480" w:lineRule="auto"/>
        <w:rPr>
          <w:rFonts w:cs="Arial"/>
          <w:lang w:val="en-GB"/>
        </w:rPr>
      </w:pPr>
      <w:r w:rsidRPr="00E169B2">
        <w:rPr>
          <w:noProof/>
        </w:rPr>
        <w:drawing>
          <wp:inline distT="0" distB="0" distL="0" distR="0" wp14:anchorId="2E68B715" wp14:editId="0244638B">
            <wp:extent cx="6848475" cy="33909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D5508" w14:textId="77777777" w:rsidR="002A0A6C" w:rsidRDefault="002A0A6C"/>
    <w:sectPr w:rsidR="002A0A6C" w:rsidSect="002A4AB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52995" w14:textId="77777777" w:rsidR="00E169B2" w:rsidRDefault="00E169B2" w:rsidP="00E169B2">
      <w:pPr>
        <w:spacing w:after="0" w:line="240" w:lineRule="auto"/>
      </w:pPr>
      <w:r>
        <w:separator/>
      </w:r>
    </w:p>
  </w:endnote>
  <w:endnote w:type="continuationSeparator" w:id="0">
    <w:p w14:paraId="1846599E" w14:textId="77777777" w:rsidR="00E169B2" w:rsidRDefault="00E169B2" w:rsidP="00E16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3A01C" w14:textId="77777777" w:rsidR="00E169B2" w:rsidRDefault="00E169B2" w:rsidP="00E169B2">
      <w:pPr>
        <w:spacing w:after="0" w:line="240" w:lineRule="auto"/>
      </w:pPr>
      <w:r>
        <w:separator/>
      </w:r>
    </w:p>
  </w:footnote>
  <w:footnote w:type="continuationSeparator" w:id="0">
    <w:p w14:paraId="5726EF8C" w14:textId="77777777" w:rsidR="00E169B2" w:rsidRDefault="00E169B2" w:rsidP="00E169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A65"/>
    <w:rsid w:val="002A0A6C"/>
    <w:rsid w:val="006E4A65"/>
    <w:rsid w:val="00E1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92B3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E4A65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4A65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69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9B2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E169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9B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2019-09-12T21:03:00Z</dcterms:created>
  <dcterms:modified xsi:type="dcterms:W3CDTF">2019-09-12T21:03:00Z</dcterms:modified>
</cp:coreProperties>
</file>